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left"/>
        <w:rPr>
          <w:rFonts w:ascii="方正仿宋简体" w:hAnsi="微软雅黑" w:eastAsia="方正仿宋简体"/>
        </w:rPr>
      </w:pPr>
      <w:bookmarkStart w:id="0" w:name="_GoBack"/>
      <w:bookmarkEnd w:id="0"/>
    </w:p>
    <w:p>
      <w:pPr>
        <w:pStyle w:val="14"/>
        <w:jc w:val="center"/>
        <w:rPr>
          <w:rFonts w:ascii="方正仿宋简体" w:hAnsi="微软雅黑" w:eastAsia="方正仿宋简体"/>
        </w:rPr>
      </w:pPr>
    </w:p>
    <w:p>
      <w:pPr>
        <w:pStyle w:val="14"/>
        <w:jc w:val="center"/>
        <w:rPr>
          <w:rFonts w:ascii="方正仿宋简体" w:hAnsi="微软雅黑" w:eastAsia="方正仿宋简体"/>
        </w:rPr>
      </w:pPr>
    </w:p>
    <w:p>
      <w:pPr>
        <w:pStyle w:val="14"/>
        <w:jc w:val="center"/>
        <w:rPr>
          <w:rFonts w:ascii="方正仿宋简体" w:hAnsi="微软雅黑" w:eastAsia="方正仿宋简体"/>
        </w:rPr>
      </w:pPr>
      <w:r>
        <w:rPr>
          <w:rFonts w:ascii="方正仿宋简体" w:hAnsi="微软雅黑" w:eastAsia="方正仿宋简体"/>
        </w:rPr>
        <w:drawing>
          <wp:inline distT="0" distB="0" distL="0" distR="0">
            <wp:extent cx="1354455" cy="1294130"/>
            <wp:effectExtent l="19050" t="0" r="0" b="0"/>
            <wp:docPr id="1" name="图片 1" descr="说明: 中国石油标识（宝石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中国石油标识（宝石花）"/>
                    <pic:cNvPicPr>
                      <a:picLocks noChangeAspect="1" noChangeArrowheads="1"/>
                    </pic:cNvPicPr>
                  </pic:nvPicPr>
                  <pic:blipFill>
                    <a:blip r:embed="rId6" cstate="print"/>
                    <a:srcRect/>
                    <a:stretch>
                      <a:fillRect/>
                    </a:stretch>
                  </pic:blipFill>
                  <pic:spPr>
                    <a:xfrm>
                      <a:off x="0" y="0"/>
                      <a:ext cx="1354455" cy="1294130"/>
                    </a:xfrm>
                    <a:prstGeom prst="rect">
                      <a:avLst/>
                    </a:prstGeom>
                    <a:noFill/>
                    <a:ln w="9525" cmpd="sng">
                      <a:noFill/>
                      <a:miter lim="800000"/>
                      <a:headEnd/>
                      <a:tailEnd/>
                    </a:ln>
                  </pic:spPr>
                </pic:pic>
              </a:graphicData>
            </a:graphic>
          </wp:inline>
        </w:drawing>
      </w:r>
    </w:p>
    <w:p>
      <w:pPr>
        <w:pStyle w:val="14"/>
        <w:jc w:val="center"/>
        <w:rPr>
          <w:rFonts w:ascii="方正仿宋简体" w:hAnsi="微软雅黑" w:eastAsia="方正仿宋简体"/>
        </w:rPr>
      </w:pPr>
    </w:p>
    <w:p>
      <w:pPr>
        <w:spacing w:line="760" w:lineRule="exact"/>
        <w:jc w:val="center"/>
        <w:rPr>
          <w:rFonts w:ascii="方正小标宋简体" w:eastAsia="方正小标宋简体"/>
          <w:snapToGrid w:val="0"/>
          <w:kern w:val="0"/>
          <w:sz w:val="44"/>
          <w:szCs w:val="44"/>
        </w:rPr>
      </w:pPr>
      <w:r>
        <w:rPr>
          <w:rFonts w:hint="eastAsia" w:ascii="方正小标宋简体" w:eastAsia="方正小标宋简体"/>
          <w:snapToGrid w:val="0"/>
          <w:kern w:val="0"/>
          <w:sz w:val="44"/>
          <w:szCs w:val="44"/>
        </w:rPr>
        <w:t>昆仑银行集中采购项目</w:t>
      </w:r>
      <w:r>
        <w:rPr>
          <w:rFonts w:hint="eastAsia" w:ascii="方正小标宋简体" w:eastAsia="方正小标宋简体"/>
          <w:snapToGrid w:val="0"/>
          <w:sz w:val="44"/>
          <w:szCs w:val="44"/>
        </w:rPr>
        <w:t>需求说明书</w:t>
      </w:r>
    </w:p>
    <w:p>
      <w:pPr>
        <w:pStyle w:val="14"/>
        <w:jc w:val="center"/>
        <w:rPr>
          <w:rFonts w:ascii="方正楷体简体" w:hAnsi="微软雅黑" w:eastAsia="方正楷体简体"/>
          <w:snapToGrid w:val="0"/>
          <w:sz w:val="32"/>
          <w:szCs w:val="32"/>
        </w:rPr>
      </w:pPr>
      <w:r>
        <w:rPr>
          <w:rFonts w:hint="eastAsia" w:ascii="方正楷体简体" w:hAnsi="微软雅黑" w:eastAsia="方正楷体简体"/>
          <w:snapToGrid w:val="0"/>
          <w:sz w:val="32"/>
          <w:szCs w:val="32"/>
        </w:rPr>
        <w:t>（信用卡业务外包合同重新商务谈判项目）</w:t>
      </w:r>
    </w:p>
    <w:p>
      <w:pPr>
        <w:pStyle w:val="14"/>
        <w:jc w:val="center"/>
        <w:rPr>
          <w:rFonts w:ascii="方正仿宋简体" w:hAnsi="微软雅黑" w:eastAsia="方正仿宋简体"/>
          <w:snapToGrid w:val="0"/>
          <w:sz w:val="52"/>
        </w:rPr>
      </w:pPr>
    </w:p>
    <w:p>
      <w:pPr>
        <w:pStyle w:val="14"/>
        <w:jc w:val="center"/>
        <w:rPr>
          <w:rFonts w:ascii="方正仿宋简体" w:hAnsi="微软雅黑" w:eastAsia="方正仿宋简体"/>
          <w:snapToGrid w:val="0"/>
          <w:sz w:val="52"/>
        </w:rPr>
      </w:pPr>
    </w:p>
    <w:p>
      <w:pPr>
        <w:pStyle w:val="14"/>
        <w:jc w:val="center"/>
        <w:rPr>
          <w:rFonts w:ascii="方正仿宋简体" w:hAnsi="微软雅黑" w:eastAsia="方正仿宋简体"/>
          <w:snapToGrid w:val="0"/>
          <w:sz w:val="52"/>
        </w:rPr>
      </w:pPr>
    </w:p>
    <w:p>
      <w:pPr>
        <w:pStyle w:val="14"/>
        <w:jc w:val="center"/>
        <w:rPr>
          <w:rFonts w:ascii="方正仿宋简体" w:hAnsi="微软雅黑" w:eastAsia="方正仿宋简体"/>
          <w:snapToGrid w:val="0"/>
          <w:sz w:val="52"/>
        </w:rPr>
      </w:pPr>
    </w:p>
    <w:p>
      <w:pPr>
        <w:pStyle w:val="14"/>
        <w:jc w:val="center"/>
        <w:rPr>
          <w:rFonts w:ascii="方正仿宋简体" w:hAnsi="微软雅黑" w:eastAsia="方正仿宋简体"/>
          <w:snapToGrid w:val="0"/>
          <w:sz w:val="52"/>
        </w:rPr>
      </w:pPr>
    </w:p>
    <w:p>
      <w:pPr>
        <w:pStyle w:val="14"/>
        <w:ind w:firstLine="2800" w:firstLineChars="875"/>
        <w:rPr>
          <w:rFonts w:ascii="方正黑体简体" w:hAnsi="微软雅黑" w:eastAsia="方正黑体简体"/>
          <w:color w:val="000000"/>
          <w:sz w:val="32"/>
          <w:szCs w:val="32"/>
        </w:rPr>
      </w:pPr>
      <w:r>
        <w:rPr>
          <w:rFonts w:hint="eastAsia" w:ascii="方正黑体简体" w:hAnsi="微软雅黑" w:eastAsia="方正黑体简体"/>
          <w:color w:val="000000"/>
          <w:sz w:val="32"/>
          <w:szCs w:val="32"/>
        </w:rPr>
        <w:t>昆仑银行股份有限公司</w:t>
      </w:r>
    </w:p>
    <w:p>
      <w:pPr>
        <w:pStyle w:val="14"/>
        <w:ind w:firstLine="3920" w:firstLineChars="1225"/>
        <w:rPr>
          <w:rFonts w:ascii="方正黑体简体" w:hAnsi="微软雅黑" w:eastAsia="方正黑体简体"/>
          <w:snapToGrid w:val="0"/>
          <w:sz w:val="52"/>
        </w:rPr>
      </w:pPr>
      <w:r>
        <w:rPr>
          <w:rFonts w:hint="eastAsia" w:ascii="方正黑体简体" w:hAnsi="微软雅黑" w:eastAsia="方正黑体简体"/>
          <w:color w:val="000000"/>
          <w:sz w:val="32"/>
          <w:szCs w:val="32"/>
        </w:rPr>
        <w:t>2021年</w:t>
      </w:r>
    </w:p>
    <w:p/>
    <w:p>
      <w:pPr>
        <w:spacing w:line="560" w:lineRule="exact"/>
        <w:ind w:firstLine="561"/>
        <w:rPr>
          <w:rFonts w:ascii="方正黑体简体" w:eastAsia="方正黑体简体"/>
          <w:sz w:val="32"/>
          <w:szCs w:val="32"/>
        </w:rPr>
      </w:pPr>
    </w:p>
    <w:p>
      <w:pPr>
        <w:spacing w:line="560" w:lineRule="exact"/>
        <w:ind w:firstLine="561"/>
        <w:rPr>
          <w:rFonts w:ascii="方正黑体简体" w:eastAsia="方正黑体简体"/>
          <w:sz w:val="32"/>
          <w:szCs w:val="32"/>
        </w:rPr>
      </w:pPr>
    </w:p>
    <w:p>
      <w:pPr>
        <w:numPr>
          <w:ilvl w:val="0"/>
          <w:numId w:val="1"/>
        </w:numPr>
        <w:tabs>
          <w:tab w:val="center" w:pos="4465"/>
        </w:tabs>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项目背景</w:t>
      </w:r>
    </w:p>
    <w:p>
      <w:pPr>
        <w:spacing w:line="560" w:lineRule="exact"/>
        <w:rPr>
          <w:rFonts w:ascii="方正仿宋简体" w:hAnsi="Calibri" w:eastAsia="方正仿宋简体"/>
          <w:sz w:val="32"/>
          <w:szCs w:val="32"/>
        </w:rPr>
      </w:pPr>
      <w:r>
        <w:rPr>
          <w:rFonts w:hint="eastAsia" w:ascii="黑体" w:hAnsi="黑体" w:eastAsia="黑体" w:cs="黑体"/>
          <w:sz w:val="32"/>
          <w:szCs w:val="32"/>
        </w:rPr>
        <w:t xml:space="preserve">    </w:t>
      </w:r>
      <w:r>
        <w:rPr>
          <w:rFonts w:hint="eastAsia" w:ascii="方正仿宋简体" w:hAnsi="Calibri" w:eastAsia="方正仿宋简体"/>
          <w:sz w:val="32"/>
          <w:szCs w:val="32"/>
        </w:rPr>
        <w:t>银联数据服务有限公司是中国银联的控股子公司，自2011年至今，与我行先后签订了《贷记卡发卡外包服务合同》《系统服务外包合同》等10个合同，为我行提供贷记卡核心系统、短信、邮件、申请策略管理、申请欺诈侦测、催收、交易欺诈、制卡、第三方支付、权益、积分系统、积分商城、微信银行、手机银行、客服系统等外包服务。</w:t>
      </w:r>
    </w:p>
    <w:p>
      <w:pPr>
        <w:spacing w:line="560" w:lineRule="exact"/>
        <w:rPr>
          <w:rFonts w:ascii="方正仿宋简体" w:hAnsi="Calibri" w:eastAsia="方正仿宋简体"/>
          <w:sz w:val="32"/>
          <w:szCs w:val="32"/>
        </w:rPr>
      </w:pPr>
      <w:r>
        <w:rPr>
          <w:rFonts w:hint="eastAsia" w:asciiTheme="minorEastAsia" w:hAnsiTheme="minorEastAsia" w:eastAsiaTheme="minorEastAsia"/>
          <w:sz w:val="24"/>
          <w:szCs w:val="32"/>
        </w:rPr>
        <w:t>表：银联数据合同明细表</w:t>
      </w:r>
    </w:p>
    <w:tbl>
      <w:tblPr>
        <w:tblStyle w:val="24"/>
        <w:tblW w:w="8378" w:type="dxa"/>
        <w:tblInd w:w="94" w:type="dxa"/>
        <w:tblLayout w:type="fixed"/>
        <w:tblCellMar>
          <w:top w:w="0" w:type="dxa"/>
          <w:left w:w="108" w:type="dxa"/>
          <w:bottom w:w="0" w:type="dxa"/>
          <w:right w:w="108" w:type="dxa"/>
        </w:tblCellMar>
      </w:tblPr>
      <w:tblGrid>
        <w:gridCol w:w="700"/>
        <w:gridCol w:w="2575"/>
        <w:gridCol w:w="2360"/>
        <w:gridCol w:w="2743"/>
      </w:tblGrid>
      <w:tr>
        <w:tblPrEx>
          <w:tblCellMar>
            <w:top w:w="0" w:type="dxa"/>
            <w:left w:w="108" w:type="dxa"/>
            <w:bottom w:w="0" w:type="dxa"/>
            <w:right w:w="108" w:type="dxa"/>
          </w:tblCellMar>
        </w:tblPrEx>
        <w:trPr>
          <w:trHeight w:val="360" w:hRule="atLeast"/>
        </w:trPr>
        <w:tc>
          <w:tcPr>
            <w:tcW w:w="700" w:type="dxa"/>
            <w:tcBorders>
              <w:top w:val="single" w:color="auto" w:sz="4" w:space="0"/>
              <w:left w:val="single" w:color="auto" w:sz="4" w:space="0"/>
              <w:bottom w:val="nil"/>
              <w:right w:val="single" w:color="auto" w:sz="4" w:space="0"/>
            </w:tcBorders>
            <w:shd w:val="clear" w:color="000000" w:fill="BFBFBF"/>
            <w:vAlign w:val="center"/>
          </w:tcPr>
          <w:p>
            <w:pPr>
              <w:widowControl/>
              <w:jc w:val="center"/>
              <w:rPr>
                <w:rFonts w:ascii="微软雅黑" w:hAnsi="微软雅黑" w:eastAsia="微软雅黑" w:cs="宋体"/>
                <w:b/>
                <w:bCs/>
                <w:color w:val="000000"/>
                <w:kern w:val="0"/>
              </w:rPr>
            </w:pPr>
            <w:r>
              <w:rPr>
                <w:rFonts w:hint="eastAsia" w:ascii="微软雅黑" w:hAnsi="微软雅黑" w:eastAsia="微软雅黑" w:cs="宋体"/>
                <w:b/>
                <w:bCs/>
                <w:color w:val="000000"/>
                <w:kern w:val="0"/>
              </w:rPr>
              <w:t>序号</w:t>
            </w:r>
          </w:p>
        </w:tc>
        <w:tc>
          <w:tcPr>
            <w:tcW w:w="2575" w:type="dxa"/>
            <w:tcBorders>
              <w:top w:val="single" w:color="auto" w:sz="4" w:space="0"/>
              <w:left w:val="nil"/>
              <w:bottom w:val="nil"/>
              <w:right w:val="single" w:color="auto" w:sz="4" w:space="0"/>
            </w:tcBorders>
            <w:shd w:val="clear" w:color="000000" w:fill="BFBFBF"/>
            <w:vAlign w:val="center"/>
          </w:tcPr>
          <w:p>
            <w:pPr>
              <w:widowControl/>
              <w:jc w:val="center"/>
              <w:rPr>
                <w:rFonts w:ascii="微软雅黑" w:hAnsi="微软雅黑" w:eastAsia="微软雅黑" w:cs="宋体"/>
                <w:b/>
                <w:bCs/>
                <w:color w:val="000000"/>
                <w:kern w:val="0"/>
              </w:rPr>
            </w:pPr>
            <w:r>
              <w:rPr>
                <w:rFonts w:hint="eastAsia" w:ascii="微软雅黑" w:hAnsi="微软雅黑" w:eastAsia="微软雅黑" w:cs="宋体"/>
                <w:b/>
                <w:bCs/>
                <w:color w:val="000000"/>
                <w:kern w:val="0"/>
              </w:rPr>
              <w:t>合同/项目名称</w:t>
            </w:r>
          </w:p>
        </w:tc>
        <w:tc>
          <w:tcPr>
            <w:tcW w:w="2360" w:type="dxa"/>
            <w:tcBorders>
              <w:top w:val="single" w:color="auto" w:sz="4" w:space="0"/>
              <w:left w:val="nil"/>
              <w:bottom w:val="nil"/>
              <w:right w:val="single" w:color="auto" w:sz="4" w:space="0"/>
            </w:tcBorders>
            <w:shd w:val="clear" w:color="000000" w:fill="BFBFBF"/>
            <w:vAlign w:val="center"/>
          </w:tcPr>
          <w:p>
            <w:pPr>
              <w:widowControl/>
              <w:jc w:val="left"/>
              <w:rPr>
                <w:rFonts w:ascii="微软雅黑" w:hAnsi="微软雅黑" w:eastAsia="微软雅黑" w:cs="宋体"/>
                <w:b/>
                <w:bCs/>
                <w:color w:val="000000"/>
                <w:kern w:val="0"/>
              </w:rPr>
            </w:pPr>
            <w:r>
              <w:rPr>
                <w:rFonts w:hint="eastAsia" w:ascii="微软雅黑" w:hAnsi="微软雅黑" w:eastAsia="微软雅黑" w:cs="宋体"/>
                <w:b/>
                <w:bCs/>
                <w:color w:val="000000"/>
                <w:kern w:val="0"/>
              </w:rPr>
              <w:t>合同生效日/签署日</w:t>
            </w:r>
          </w:p>
        </w:tc>
        <w:tc>
          <w:tcPr>
            <w:tcW w:w="2743" w:type="dxa"/>
            <w:tcBorders>
              <w:top w:val="single" w:color="auto" w:sz="4" w:space="0"/>
              <w:left w:val="nil"/>
              <w:bottom w:val="nil"/>
              <w:right w:val="single" w:color="auto" w:sz="4" w:space="0"/>
            </w:tcBorders>
            <w:shd w:val="clear" w:color="000000" w:fill="BFBFBF"/>
            <w:vAlign w:val="center"/>
          </w:tcPr>
          <w:p>
            <w:pPr>
              <w:widowControl/>
              <w:jc w:val="center"/>
              <w:rPr>
                <w:rFonts w:ascii="微软雅黑" w:hAnsi="微软雅黑" w:eastAsia="微软雅黑" w:cs="宋体"/>
                <w:b/>
                <w:bCs/>
                <w:color w:val="000000"/>
                <w:kern w:val="0"/>
              </w:rPr>
            </w:pPr>
            <w:r>
              <w:rPr>
                <w:rFonts w:hint="eastAsia" w:ascii="微软雅黑" w:hAnsi="微软雅黑" w:eastAsia="微软雅黑" w:cs="宋体"/>
                <w:b/>
                <w:bCs/>
                <w:color w:val="000000"/>
                <w:kern w:val="0"/>
              </w:rPr>
              <w:t>涉及产品内容</w:t>
            </w:r>
          </w:p>
        </w:tc>
      </w:tr>
      <w:tr>
        <w:tblPrEx>
          <w:tblCellMar>
            <w:top w:w="0" w:type="dxa"/>
            <w:left w:w="108" w:type="dxa"/>
            <w:bottom w:w="0" w:type="dxa"/>
            <w:right w:w="108" w:type="dxa"/>
          </w:tblCellMar>
        </w:tblPrEx>
        <w:trPr>
          <w:trHeight w:val="990" w:hRule="atLeast"/>
        </w:trPr>
        <w:tc>
          <w:tcPr>
            <w:tcW w:w="70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1</w:t>
            </w:r>
          </w:p>
        </w:tc>
        <w:tc>
          <w:tcPr>
            <w:tcW w:w="2575" w:type="dxa"/>
            <w:tcBorders>
              <w:top w:val="single" w:color="auto" w:sz="4" w:space="0"/>
              <w:left w:val="nil"/>
              <w:bottom w:val="nil"/>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贷记卡发卡外包服务合同</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2011年7月25日</w:t>
            </w:r>
          </w:p>
        </w:tc>
        <w:tc>
          <w:tcPr>
            <w:tcW w:w="2743" w:type="dxa"/>
            <w:tcBorders>
              <w:top w:val="single" w:color="auto" w:sz="4" w:space="0"/>
              <w:left w:val="nil"/>
              <w:bottom w:val="nil"/>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信用卡核心系统、短信、邮件、申请策略管理、申请欺诈侦测、催收、交易欺诈</w:t>
            </w:r>
          </w:p>
        </w:tc>
      </w:tr>
      <w:tr>
        <w:tblPrEx>
          <w:tblCellMar>
            <w:top w:w="0" w:type="dxa"/>
            <w:left w:w="108" w:type="dxa"/>
            <w:bottom w:w="0" w:type="dxa"/>
            <w:right w:w="108" w:type="dxa"/>
          </w:tblCellMar>
        </w:tblPrEx>
        <w:trPr>
          <w:trHeight w:val="330" w:hRule="atLeast"/>
        </w:trPr>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w:t>
            </w:r>
          </w:p>
        </w:tc>
        <w:tc>
          <w:tcPr>
            <w:tcW w:w="257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信用卡申领便捷服务合同</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2017年9月1日</w:t>
            </w:r>
          </w:p>
        </w:tc>
        <w:tc>
          <w:tcPr>
            <w:tcW w:w="27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便捷制卡服务</w:t>
            </w:r>
          </w:p>
        </w:tc>
      </w:tr>
      <w:tr>
        <w:tblPrEx>
          <w:tblCellMar>
            <w:top w:w="0" w:type="dxa"/>
            <w:left w:w="108" w:type="dxa"/>
            <w:bottom w:w="0" w:type="dxa"/>
            <w:right w:w="108" w:type="dxa"/>
          </w:tblCellMar>
        </w:tblPrEx>
        <w:trPr>
          <w:trHeight w:val="660" w:hRule="atLeast"/>
        </w:trPr>
        <w:tc>
          <w:tcPr>
            <w:tcW w:w="7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3</w:t>
            </w:r>
          </w:p>
        </w:tc>
        <w:tc>
          <w:tcPr>
            <w:tcW w:w="2575"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银联云闪付项目外包服务合同</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2018年6月27日</w:t>
            </w:r>
          </w:p>
        </w:tc>
        <w:tc>
          <w:tcPr>
            <w:tcW w:w="2743"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APPLEPAY、SAMSUNGPAY、HUAWEIPAY、小米PAY</w:t>
            </w:r>
          </w:p>
        </w:tc>
      </w:tr>
      <w:tr>
        <w:tblPrEx>
          <w:tblCellMar>
            <w:top w:w="0" w:type="dxa"/>
            <w:left w:w="108" w:type="dxa"/>
            <w:bottom w:w="0" w:type="dxa"/>
            <w:right w:w="108" w:type="dxa"/>
          </w:tblCellMar>
        </w:tblPrEx>
        <w:trPr>
          <w:trHeight w:val="660" w:hRule="atLeast"/>
        </w:trPr>
        <w:tc>
          <w:tcPr>
            <w:tcW w:w="700" w:type="dxa"/>
            <w:tcBorders>
              <w:top w:val="nil"/>
              <w:left w:val="single" w:color="auto" w:sz="4" w:space="0"/>
              <w:bottom w:val="nil"/>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4</w:t>
            </w:r>
          </w:p>
        </w:tc>
        <w:tc>
          <w:tcPr>
            <w:tcW w:w="2575" w:type="dxa"/>
            <w:tcBorders>
              <w:top w:val="nil"/>
              <w:left w:val="nil"/>
              <w:bottom w:val="nil"/>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信用卡增值系统服务外包项目服务合同</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2018年2月2日</w:t>
            </w:r>
          </w:p>
        </w:tc>
        <w:tc>
          <w:tcPr>
            <w:tcW w:w="2743" w:type="dxa"/>
            <w:tcBorders>
              <w:top w:val="nil"/>
              <w:left w:val="nil"/>
              <w:bottom w:val="nil"/>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积分系统、积分商城、微信银行、手机银行、客服系统</w:t>
            </w:r>
          </w:p>
        </w:tc>
      </w:tr>
      <w:tr>
        <w:tblPrEx>
          <w:tblCellMar>
            <w:top w:w="0" w:type="dxa"/>
            <w:left w:w="108" w:type="dxa"/>
            <w:bottom w:w="0" w:type="dxa"/>
            <w:right w:w="108" w:type="dxa"/>
          </w:tblCellMar>
        </w:tblPrEx>
        <w:trPr>
          <w:trHeight w:val="330" w:hRule="atLeast"/>
        </w:trPr>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5</w:t>
            </w:r>
          </w:p>
        </w:tc>
        <w:tc>
          <w:tcPr>
            <w:tcW w:w="257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信用卡权益平台服务外包项目服务合同书</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2018年12月29日</w:t>
            </w:r>
          </w:p>
        </w:tc>
        <w:tc>
          <w:tcPr>
            <w:tcW w:w="27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权益平台</w:t>
            </w:r>
          </w:p>
        </w:tc>
      </w:tr>
      <w:tr>
        <w:tblPrEx>
          <w:tblCellMar>
            <w:top w:w="0" w:type="dxa"/>
            <w:left w:w="108" w:type="dxa"/>
            <w:bottom w:w="0" w:type="dxa"/>
            <w:right w:w="108" w:type="dxa"/>
          </w:tblCellMar>
        </w:tblPrEx>
        <w:trPr>
          <w:trHeight w:val="330" w:hRule="atLeast"/>
        </w:trPr>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6</w:t>
            </w:r>
          </w:p>
        </w:tc>
        <w:tc>
          <w:tcPr>
            <w:tcW w:w="257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采购银联数据智能风险决策模块项目服务合同</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2019年1月21日</w:t>
            </w:r>
          </w:p>
        </w:tc>
        <w:tc>
          <w:tcPr>
            <w:tcW w:w="27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信审平台、征信数据、人脸识别</w:t>
            </w:r>
          </w:p>
        </w:tc>
      </w:tr>
      <w:tr>
        <w:tblPrEx>
          <w:tblCellMar>
            <w:top w:w="0" w:type="dxa"/>
            <w:left w:w="108" w:type="dxa"/>
            <w:bottom w:w="0" w:type="dxa"/>
            <w:right w:w="108" w:type="dxa"/>
          </w:tblCellMar>
        </w:tblPrEx>
        <w:trPr>
          <w:trHeight w:val="330" w:hRule="atLeast"/>
        </w:trPr>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7</w:t>
            </w:r>
          </w:p>
        </w:tc>
        <w:tc>
          <w:tcPr>
            <w:tcW w:w="257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信用卡聚合还款与分期云服务平台外包服务合同</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2020年7月3日</w:t>
            </w:r>
          </w:p>
        </w:tc>
        <w:tc>
          <w:tcPr>
            <w:tcW w:w="27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互联网还款与账单分期</w:t>
            </w:r>
          </w:p>
        </w:tc>
      </w:tr>
      <w:tr>
        <w:tblPrEx>
          <w:tblCellMar>
            <w:top w:w="0" w:type="dxa"/>
            <w:left w:w="108" w:type="dxa"/>
            <w:bottom w:w="0" w:type="dxa"/>
            <w:right w:w="108" w:type="dxa"/>
          </w:tblCellMar>
        </w:tblPrEx>
        <w:trPr>
          <w:trHeight w:val="660" w:hRule="atLeast"/>
        </w:trPr>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8</w:t>
            </w:r>
          </w:p>
        </w:tc>
        <w:tc>
          <w:tcPr>
            <w:tcW w:w="257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昆仑银行与银联数据服务有限公司银联渠道信用卡推广合作协议</w:t>
            </w:r>
          </w:p>
        </w:tc>
        <w:tc>
          <w:tcPr>
            <w:tcW w:w="2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2020年8月20日</w:t>
            </w:r>
          </w:p>
        </w:tc>
        <w:tc>
          <w:tcPr>
            <w:tcW w:w="2743"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信用卡网上申请平台</w:t>
            </w:r>
          </w:p>
        </w:tc>
      </w:tr>
      <w:tr>
        <w:tblPrEx>
          <w:tblCellMar>
            <w:top w:w="0" w:type="dxa"/>
            <w:left w:w="108" w:type="dxa"/>
            <w:bottom w:w="0" w:type="dxa"/>
            <w:right w:w="108" w:type="dxa"/>
          </w:tblCellMar>
        </w:tblPrEx>
        <w:trPr>
          <w:trHeight w:val="33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9</w:t>
            </w:r>
          </w:p>
        </w:tc>
        <w:tc>
          <w:tcPr>
            <w:tcW w:w="2575"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中国银联信用卡账单分期业务合作协议</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2020年9月9日</w:t>
            </w:r>
          </w:p>
        </w:tc>
        <w:tc>
          <w:tcPr>
            <w:tcW w:w="2743"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云闪付分期</w:t>
            </w:r>
          </w:p>
        </w:tc>
      </w:tr>
      <w:tr>
        <w:tblPrEx>
          <w:tblCellMar>
            <w:top w:w="0" w:type="dxa"/>
            <w:left w:w="108" w:type="dxa"/>
            <w:bottom w:w="0" w:type="dxa"/>
            <w:right w:w="108" w:type="dxa"/>
          </w:tblCellMar>
        </w:tblPrEx>
        <w:trPr>
          <w:trHeight w:val="66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10</w:t>
            </w:r>
          </w:p>
        </w:tc>
        <w:tc>
          <w:tcPr>
            <w:tcW w:w="2575"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昆仑银行信用卡智能业务管理平台系统项目外包服务合同</w:t>
            </w:r>
          </w:p>
        </w:tc>
        <w:tc>
          <w:tcPr>
            <w:tcW w:w="2360"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2020年12年10日</w:t>
            </w:r>
          </w:p>
        </w:tc>
        <w:tc>
          <w:tcPr>
            <w:tcW w:w="2743" w:type="dxa"/>
            <w:tcBorders>
              <w:top w:val="nil"/>
              <w:left w:val="nil"/>
              <w:bottom w:val="single" w:color="auto" w:sz="4" w:space="0"/>
              <w:right w:val="single" w:color="auto" w:sz="4" w:space="0"/>
            </w:tcBorders>
            <w:shd w:val="clear" w:color="auto" w:fill="auto"/>
            <w:vAlign w:val="center"/>
          </w:tcPr>
          <w:p>
            <w:pPr>
              <w:widowControl/>
              <w:jc w:val="left"/>
              <w:rPr>
                <w:rFonts w:ascii="微软雅黑" w:hAnsi="微软雅黑" w:eastAsia="微软雅黑" w:cs="宋体"/>
                <w:color w:val="000000"/>
                <w:kern w:val="0"/>
                <w:sz w:val="18"/>
                <w:szCs w:val="22"/>
              </w:rPr>
            </w:pPr>
            <w:r>
              <w:rPr>
                <w:rFonts w:hint="eastAsia" w:ascii="微软雅黑" w:hAnsi="微软雅黑" w:eastAsia="微软雅黑" w:cs="宋体"/>
                <w:color w:val="000000"/>
                <w:kern w:val="0"/>
                <w:sz w:val="18"/>
                <w:szCs w:val="22"/>
              </w:rPr>
              <w:t>智能业务管理平台</w:t>
            </w:r>
          </w:p>
        </w:tc>
      </w:tr>
    </w:tbl>
    <w:p>
      <w:pPr>
        <w:spacing w:line="560" w:lineRule="exact"/>
        <w:ind w:firstLine="640" w:firstLineChars="200"/>
        <w:rPr>
          <w:rFonts w:ascii="方正黑体简体" w:eastAsia="方正仿宋简体"/>
          <w:sz w:val="32"/>
          <w:szCs w:val="32"/>
        </w:rPr>
      </w:pPr>
      <w:r>
        <w:rPr>
          <w:rFonts w:hint="eastAsia" w:ascii="方正仿宋简体" w:hAnsi="Calibri" w:eastAsia="方正仿宋简体"/>
          <w:sz w:val="32"/>
          <w:szCs w:val="32"/>
        </w:rPr>
        <w:t>随着零售业务改革，我行已重新定位信用卡业务，为有效降低费用、优化合作流程，现申请对银联数据服务有限公司已签署的合同重新商务谈判。</w:t>
      </w:r>
    </w:p>
    <w:p>
      <w:pPr>
        <w:numPr>
          <w:ilvl w:val="0"/>
          <w:numId w:val="1"/>
        </w:numPr>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项目需求</w:t>
      </w:r>
    </w:p>
    <w:p>
      <w:pPr>
        <w:spacing w:line="560" w:lineRule="exact"/>
        <w:ind w:firstLine="640" w:firstLineChars="200"/>
        <w:rPr>
          <w:rFonts w:ascii="方正黑体简体" w:eastAsia="方正黑体简体"/>
          <w:sz w:val="32"/>
          <w:szCs w:val="32"/>
        </w:rPr>
      </w:pPr>
      <w:r>
        <w:rPr>
          <w:rFonts w:hint="eastAsia" w:ascii="方正仿宋简体" w:hAnsi="Calibri" w:eastAsia="方正仿宋简体"/>
          <w:sz w:val="32"/>
          <w:szCs w:val="32"/>
        </w:rPr>
        <w:t>我行与银联数据的合同为2011年至2020年陆续签订，部分合同价格签署时间较早，服务合同价格定制不够细化；渠道查询等相同事项分多个合同签署，单一合同服务价格较批量结算费用高，部分合同存在议价空间。以上原因导致信用卡后期运行维护成本较高，截至2021年10月末，与银联数据结算费用累计达4477.93万元。为有效降低费用、优化合作流程，拟将10个效期内的合同整合，重新进行价格评估，统一签订时间、续约模式，保证与合作公司发挥最大的集约化管理优势。受银联数据机构调整，其中部分业务及服务划拨至其全资子公司上海荣数信息技术有限公司进行后续服务，故在此次谈判中，该部分内容将进行合同主体调整。</w:t>
      </w:r>
    </w:p>
    <w:p>
      <w:pPr>
        <w:numPr>
          <w:ilvl w:val="0"/>
          <w:numId w:val="1"/>
        </w:numPr>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其他要求</w:t>
      </w:r>
    </w:p>
    <w:p>
      <w:pPr>
        <w:spacing w:line="560" w:lineRule="exact"/>
        <w:ind w:firstLine="640" w:firstLineChars="200"/>
        <w:rPr>
          <w:rFonts w:ascii="方正黑体简体" w:eastAsia="方正黑体简体"/>
          <w:sz w:val="32"/>
          <w:szCs w:val="32"/>
        </w:rPr>
      </w:pPr>
      <w:r>
        <w:rPr>
          <w:rFonts w:hint="eastAsia" w:ascii="方正仿宋简体" w:hAnsi="Calibri" w:eastAsia="方正仿宋简体"/>
          <w:sz w:val="32"/>
          <w:szCs w:val="32"/>
        </w:rPr>
        <w:t>建议行内集采办牵头，信息科技部、法律合规部、资产负债部、零售业务部、零售管理部联合对银联数据合作的系统及服务重新进行商务谈判。</w:t>
      </w:r>
    </w:p>
    <w:sectPr>
      <w:pgSz w:w="11906" w:h="16838"/>
      <w:pgMar w:top="1440" w:right="1800" w:bottom="1440" w:left="1800" w:header="851" w:footer="17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Arial (W1)">
    <w:altName w:val="Arial"/>
    <w:panose1 w:val="00000000000000000000"/>
    <w:charset w:val="00"/>
    <w:family w:val="swiss"/>
    <w:pitch w:val="default"/>
    <w:sig w:usb0="00000000" w:usb1="00000000" w:usb2="00000000" w:usb3="00000000" w:csb0="00000001" w:csb1="00000000"/>
  </w:font>
  <w:font w:name="方正仿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C87DAB"/>
    <w:multiLevelType w:val="singleLevel"/>
    <w:tmpl w:val="CEC87DA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10212"/>
    <w:rsid w:val="00020AD9"/>
    <w:rsid w:val="0006122B"/>
    <w:rsid w:val="00062F4F"/>
    <w:rsid w:val="00066796"/>
    <w:rsid w:val="00076681"/>
    <w:rsid w:val="000825FA"/>
    <w:rsid w:val="0008374B"/>
    <w:rsid w:val="00091A06"/>
    <w:rsid w:val="00093D3B"/>
    <w:rsid w:val="000A6AEE"/>
    <w:rsid w:val="000D516C"/>
    <w:rsid w:val="00105BB6"/>
    <w:rsid w:val="00115BD0"/>
    <w:rsid w:val="00117518"/>
    <w:rsid w:val="0012199A"/>
    <w:rsid w:val="00124F0B"/>
    <w:rsid w:val="0015195E"/>
    <w:rsid w:val="00164183"/>
    <w:rsid w:val="00172A27"/>
    <w:rsid w:val="001733D5"/>
    <w:rsid w:val="001B482E"/>
    <w:rsid w:val="001D7526"/>
    <w:rsid w:val="001E5208"/>
    <w:rsid w:val="001F49DB"/>
    <w:rsid w:val="00204E58"/>
    <w:rsid w:val="0020584C"/>
    <w:rsid w:val="0023005F"/>
    <w:rsid w:val="00247E51"/>
    <w:rsid w:val="00256A0C"/>
    <w:rsid w:val="00264CDD"/>
    <w:rsid w:val="002B7859"/>
    <w:rsid w:val="002D64D6"/>
    <w:rsid w:val="003214FA"/>
    <w:rsid w:val="00321B65"/>
    <w:rsid w:val="00322035"/>
    <w:rsid w:val="00326567"/>
    <w:rsid w:val="0032790F"/>
    <w:rsid w:val="00333BB5"/>
    <w:rsid w:val="00346AFA"/>
    <w:rsid w:val="003525D5"/>
    <w:rsid w:val="00355759"/>
    <w:rsid w:val="003712D7"/>
    <w:rsid w:val="003857D3"/>
    <w:rsid w:val="0038609D"/>
    <w:rsid w:val="00397843"/>
    <w:rsid w:val="003B0FF7"/>
    <w:rsid w:val="003D79C7"/>
    <w:rsid w:val="003E113C"/>
    <w:rsid w:val="003F13F6"/>
    <w:rsid w:val="003F355C"/>
    <w:rsid w:val="0041055D"/>
    <w:rsid w:val="00416727"/>
    <w:rsid w:val="00444309"/>
    <w:rsid w:val="00496058"/>
    <w:rsid w:val="004B5FA7"/>
    <w:rsid w:val="004D6454"/>
    <w:rsid w:val="004E140D"/>
    <w:rsid w:val="0050403B"/>
    <w:rsid w:val="0053339C"/>
    <w:rsid w:val="00537BB9"/>
    <w:rsid w:val="00541153"/>
    <w:rsid w:val="005459DC"/>
    <w:rsid w:val="00585E71"/>
    <w:rsid w:val="005B7C38"/>
    <w:rsid w:val="005D3962"/>
    <w:rsid w:val="005F3919"/>
    <w:rsid w:val="005F74A0"/>
    <w:rsid w:val="00640232"/>
    <w:rsid w:val="0065174C"/>
    <w:rsid w:val="0065342E"/>
    <w:rsid w:val="00667E5C"/>
    <w:rsid w:val="006707FE"/>
    <w:rsid w:val="006E1796"/>
    <w:rsid w:val="006F368A"/>
    <w:rsid w:val="00711C25"/>
    <w:rsid w:val="0071607D"/>
    <w:rsid w:val="007478DD"/>
    <w:rsid w:val="00765B69"/>
    <w:rsid w:val="00772DDC"/>
    <w:rsid w:val="007749B3"/>
    <w:rsid w:val="00787D14"/>
    <w:rsid w:val="007C1035"/>
    <w:rsid w:val="007D1251"/>
    <w:rsid w:val="007E10DD"/>
    <w:rsid w:val="007F7FAC"/>
    <w:rsid w:val="00831570"/>
    <w:rsid w:val="00836F4B"/>
    <w:rsid w:val="00841B10"/>
    <w:rsid w:val="008742D2"/>
    <w:rsid w:val="008A0CA3"/>
    <w:rsid w:val="008A2DDB"/>
    <w:rsid w:val="008B1D22"/>
    <w:rsid w:val="008E472A"/>
    <w:rsid w:val="008F4D22"/>
    <w:rsid w:val="009062F8"/>
    <w:rsid w:val="0093457F"/>
    <w:rsid w:val="009570D5"/>
    <w:rsid w:val="00965C40"/>
    <w:rsid w:val="00967FAB"/>
    <w:rsid w:val="00991CDB"/>
    <w:rsid w:val="0099524F"/>
    <w:rsid w:val="00995FCE"/>
    <w:rsid w:val="00996915"/>
    <w:rsid w:val="009B6F8E"/>
    <w:rsid w:val="009D52DB"/>
    <w:rsid w:val="009E64C8"/>
    <w:rsid w:val="009F41E5"/>
    <w:rsid w:val="00A32DCE"/>
    <w:rsid w:val="00A6171F"/>
    <w:rsid w:val="00A805D5"/>
    <w:rsid w:val="00A85971"/>
    <w:rsid w:val="00A9348F"/>
    <w:rsid w:val="00AB0902"/>
    <w:rsid w:val="00AB4DDF"/>
    <w:rsid w:val="00AC3092"/>
    <w:rsid w:val="00AD5C80"/>
    <w:rsid w:val="00AD6B4F"/>
    <w:rsid w:val="00B17F3C"/>
    <w:rsid w:val="00B33B44"/>
    <w:rsid w:val="00B37534"/>
    <w:rsid w:val="00B44F82"/>
    <w:rsid w:val="00B5101D"/>
    <w:rsid w:val="00B52E1C"/>
    <w:rsid w:val="00BB0216"/>
    <w:rsid w:val="00BB2582"/>
    <w:rsid w:val="00C11D86"/>
    <w:rsid w:val="00C16403"/>
    <w:rsid w:val="00C75191"/>
    <w:rsid w:val="00C77A69"/>
    <w:rsid w:val="00D000F3"/>
    <w:rsid w:val="00D44877"/>
    <w:rsid w:val="00D455A1"/>
    <w:rsid w:val="00D56440"/>
    <w:rsid w:val="00D84B9E"/>
    <w:rsid w:val="00D95A1B"/>
    <w:rsid w:val="00DA16C0"/>
    <w:rsid w:val="00DC5422"/>
    <w:rsid w:val="00DF587E"/>
    <w:rsid w:val="00E03745"/>
    <w:rsid w:val="00E03767"/>
    <w:rsid w:val="00E10966"/>
    <w:rsid w:val="00E2736C"/>
    <w:rsid w:val="00E63B4D"/>
    <w:rsid w:val="00E7561C"/>
    <w:rsid w:val="00EA2D25"/>
    <w:rsid w:val="00EB5C1F"/>
    <w:rsid w:val="00ED5BC3"/>
    <w:rsid w:val="00EF0047"/>
    <w:rsid w:val="00EF173A"/>
    <w:rsid w:val="00F04A91"/>
    <w:rsid w:val="00F40320"/>
    <w:rsid w:val="00F4301F"/>
    <w:rsid w:val="00F53D39"/>
    <w:rsid w:val="00F60492"/>
    <w:rsid w:val="00F71E4B"/>
    <w:rsid w:val="00F7230E"/>
    <w:rsid w:val="00F742EB"/>
    <w:rsid w:val="00F84E20"/>
    <w:rsid w:val="00FA7E0A"/>
    <w:rsid w:val="00FB1ECE"/>
    <w:rsid w:val="00FC7286"/>
    <w:rsid w:val="00FD7EEB"/>
    <w:rsid w:val="00FE59F7"/>
    <w:rsid w:val="08CE23DF"/>
    <w:rsid w:val="31482CB2"/>
    <w:rsid w:val="34AC554E"/>
    <w:rsid w:val="489F6642"/>
    <w:rsid w:val="75AE56B8"/>
    <w:rsid w:val="7A5975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nhideWhenUsed="0" w:uiPriority="0"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widowControl/>
      <w:spacing w:before="240" w:after="60" w:line="276" w:lineRule="auto"/>
      <w:ind w:left="432" w:hanging="432"/>
      <w:jc w:val="left"/>
      <w:outlineLvl w:val="0"/>
    </w:pPr>
    <w:rPr>
      <w:rFonts w:ascii="Cambria" w:hAnsi="Cambria"/>
      <w:b/>
      <w:bCs/>
      <w:kern w:val="32"/>
      <w:sz w:val="32"/>
      <w:szCs w:val="32"/>
    </w:rPr>
  </w:style>
  <w:style w:type="paragraph" w:styleId="3">
    <w:name w:val="heading 2"/>
    <w:basedOn w:val="1"/>
    <w:next w:val="1"/>
    <w:link w:val="40"/>
    <w:qFormat/>
    <w:uiPriority w:val="0"/>
    <w:pPr>
      <w:keepNext/>
      <w:keepLines/>
      <w:widowControl/>
      <w:spacing w:before="260" w:after="260" w:line="416" w:lineRule="auto"/>
      <w:ind w:left="567" w:hanging="567"/>
      <w:jc w:val="left"/>
      <w:outlineLvl w:val="1"/>
    </w:pPr>
    <w:rPr>
      <w:rFonts w:ascii="Cambria" w:hAnsi="Cambria"/>
      <w:b/>
      <w:bCs/>
      <w:kern w:val="0"/>
      <w:sz w:val="32"/>
      <w:szCs w:val="32"/>
    </w:rPr>
  </w:style>
  <w:style w:type="paragraph" w:styleId="4">
    <w:name w:val="heading 3"/>
    <w:basedOn w:val="1"/>
    <w:next w:val="1"/>
    <w:link w:val="29"/>
    <w:qFormat/>
    <w:uiPriority w:val="0"/>
    <w:pPr>
      <w:keepNext/>
      <w:keepLines/>
      <w:widowControl/>
      <w:spacing w:before="260" w:after="260" w:line="416" w:lineRule="auto"/>
      <w:ind w:left="720" w:hanging="720"/>
      <w:jc w:val="left"/>
      <w:outlineLvl w:val="2"/>
    </w:pPr>
    <w:rPr>
      <w:rFonts w:ascii="Calibri" w:hAnsi="Calibri"/>
      <w:b/>
      <w:bCs/>
      <w:kern w:val="0"/>
      <w:sz w:val="32"/>
      <w:szCs w:val="32"/>
    </w:rPr>
  </w:style>
  <w:style w:type="paragraph" w:styleId="5">
    <w:name w:val="heading 4"/>
    <w:basedOn w:val="1"/>
    <w:next w:val="1"/>
    <w:link w:val="33"/>
    <w:qFormat/>
    <w:uiPriority w:val="0"/>
    <w:pPr>
      <w:keepNext/>
      <w:keepLines/>
      <w:widowControl/>
      <w:spacing w:before="280" w:after="290" w:line="376" w:lineRule="auto"/>
      <w:ind w:left="864" w:hanging="864"/>
      <w:jc w:val="left"/>
      <w:outlineLvl w:val="3"/>
    </w:pPr>
    <w:rPr>
      <w:rFonts w:ascii="Cambria" w:hAnsi="Cambria"/>
      <w:b/>
      <w:bCs/>
      <w:kern w:val="0"/>
      <w:sz w:val="28"/>
      <w:szCs w:val="28"/>
    </w:rPr>
  </w:style>
  <w:style w:type="paragraph" w:styleId="6">
    <w:name w:val="heading 5"/>
    <w:basedOn w:val="1"/>
    <w:next w:val="1"/>
    <w:link w:val="38"/>
    <w:qFormat/>
    <w:uiPriority w:val="0"/>
    <w:pPr>
      <w:keepNext/>
      <w:keepLines/>
      <w:widowControl/>
      <w:spacing w:before="280" w:after="290" w:line="376" w:lineRule="auto"/>
      <w:ind w:left="1008" w:hanging="1008"/>
      <w:jc w:val="left"/>
      <w:outlineLvl w:val="4"/>
    </w:pPr>
    <w:rPr>
      <w:rFonts w:ascii="Calibri" w:hAnsi="Calibri"/>
      <w:b/>
      <w:bCs/>
      <w:kern w:val="0"/>
      <w:sz w:val="28"/>
      <w:szCs w:val="28"/>
    </w:rPr>
  </w:style>
  <w:style w:type="paragraph" w:styleId="7">
    <w:name w:val="heading 6"/>
    <w:basedOn w:val="1"/>
    <w:next w:val="1"/>
    <w:link w:val="32"/>
    <w:qFormat/>
    <w:uiPriority w:val="0"/>
    <w:pPr>
      <w:keepNext/>
      <w:keepLines/>
      <w:widowControl/>
      <w:spacing w:before="240" w:after="64" w:line="320" w:lineRule="auto"/>
      <w:ind w:left="1152" w:hanging="1152"/>
      <w:jc w:val="left"/>
      <w:outlineLvl w:val="5"/>
    </w:pPr>
    <w:rPr>
      <w:rFonts w:ascii="Cambria" w:hAnsi="Cambria"/>
      <w:b/>
      <w:bCs/>
      <w:kern w:val="0"/>
      <w:sz w:val="24"/>
    </w:rPr>
  </w:style>
  <w:style w:type="paragraph" w:styleId="8">
    <w:name w:val="heading 7"/>
    <w:basedOn w:val="1"/>
    <w:next w:val="1"/>
    <w:link w:val="31"/>
    <w:qFormat/>
    <w:uiPriority w:val="0"/>
    <w:pPr>
      <w:keepNext/>
      <w:keepLines/>
      <w:widowControl/>
      <w:spacing w:before="240" w:after="64" w:line="320" w:lineRule="auto"/>
      <w:ind w:left="1296" w:hanging="1296"/>
      <w:jc w:val="left"/>
      <w:outlineLvl w:val="6"/>
    </w:pPr>
    <w:rPr>
      <w:rFonts w:ascii="Calibri" w:hAnsi="Calibri"/>
      <w:b/>
      <w:bCs/>
      <w:kern w:val="0"/>
      <w:sz w:val="24"/>
    </w:rPr>
  </w:style>
  <w:style w:type="paragraph" w:styleId="9">
    <w:name w:val="heading 8"/>
    <w:basedOn w:val="1"/>
    <w:next w:val="1"/>
    <w:link w:val="41"/>
    <w:qFormat/>
    <w:uiPriority w:val="0"/>
    <w:pPr>
      <w:keepNext/>
      <w:keepLines/>
      <w:widowControl/>
      <w:spacing w:before="240" w:after="64" w:line="320" w:lineRule="auto"/>
      <w:ind w:left="1440" w:hanging="1440"/>
      <w:jc w:val="left"/>
      <w:outlineLvl w:val="7"/>
    </w:pPr>
    <w:rPr>
      <w:rFonts w:ascii="Cambria" w:hAnsi="Cambria"/>
      <w:kern w:val="0"/>
      <w:sz w:val="24"/>
    </w:rPr>
  </w:style>
  <w:style w:type="paragraph" w:styleId="10">
    <w:name w:val="heading 9"/>
    <w:basedOn w:val="1"/>
    <w:next w:val="1"/>
    <w:link w:val="42"/>
    <w:qFormat/>
    <w:uiPriority w:val="0"/>
    <w:pPr>
      <w:keepNext/>
      <w:keepLines/>
      <w:widowControl/>
      <w:spacing w:before="240" w:after="64" w:line="320" w:lineRule="auto"/>
      <w:ind w:left="1584" w:hanging="1584"/>
      <w:jc w:val="left"/>
      <w:outlineLvl w:val="8"/>
    </w:pPr>
    <w:rPr>
      <w:rFonts w:ascii="Cambria" w:hAnsi="Cambria"/>
      <w:kern w:val="0"/>
      <w:szCs w:val="21"/>
    </w:rPr>
  </w:style>
  <w:style w:type="character" w:default="1" w:styleId="25">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List Bullet 4"/>
    <w:basedOn w:val="1"/>
    <w:qFormat/>
    <w:uiPriority w:val="0"/>
    <w:pPr>
      <w:widowControl/>
      <w:tabs>
        <w:tab w:val="left" w:pos="1134"/>
      </w:tabs>
      <w:spacing w:line="280" w:lineRule="atLeast"/>
      <w:ind w:left="1418" w:hanging="284"/>
      <w:jc w:val="left"/>
    </w:pPr>
    <w:rPr>
      <w:kern w:val="0"/>
      <w:sz w:val="22"/>
      <w:szCs w:val="20"/>
    </w:rPr>
  </w:style>
  <w:style w:type="paragraph" w:styleId="12">
    <w:name w:val="Document Map"/>
    <w:basedOn w:val="1"/>
    <w:link w:val="39"/>
    <w:uiPriority w:val="0"/>
    <w:rPr>
      <w:rFonts w:ascii="宋体"/>
      <w:kern w:val="0"/>
      <w:sz w:val="18"/>
      <w:szCs w:val="18"/>
    </w:rPr>
  </w:style>
  <w:style w:type="paragraph" w:styleId="13">
    <w:name w:val="annotation text"/>
    <w:basedOn w:val="1"/>
    <w:link w:val="28"/>
    <w:qFormat/>
    <w:uiPriority w:val="0"/>
    <w:pPr>
      <w:jc w:val="left"/>
    </w:pPr>
    <w:rPr>
      <w:kern w:val="0"/>
      <w:sz w:val="20"/>
    </w:rPr>
  </w:style>
  <w:style w:type="paragraph" w:styleId="14">
    <w:name w:val="Body Text"/>
    <w:basedOn w:val="1"/>
    <w:link w:val="34"/>
    <w:qFormat/>
    <w:uiPriority w:val="0"/>
    <w:pPr>
      <w:spacing w:after="120"/>
    </w:pPr>
    <w:rPr>
      <w:kern w:val="0"/>
      <w:sz w:val="20"/>
    </w:rPr>
  </w:style>
  <w:style w:type="paragraph" w:styleId="15">
    <w:name w:val="Body Text Indent"/>
    <w:basedOn w:val="1"/>
    <w:link w:val="36"/>
    <w:uiPriority w:val="0"/>
    <w:pPr>
      <w:spacing w:after="120"/>
      <w:ind w:left="420" w:leftChars="200"/>
    </w:pPr>
    <w:rPr>
      <w:kern w:val="0"/>
      <w:sz w:val="20"/>
    </w:rPr>
  </w:style>
  <w:style w:type="paragraph" w:styleId="16">
    <w:name w:val="toc 3"/>
    <w:basedOn w:val="1"/>
    <w:next w:val="1"/>
    <w:qFormat/>
    <w:uiPriority w:val="0"/>
    <w:pPr>
      <w:ind w:left="840" w:leftChars="400"/>
    </w:pPr>
  </w:style>
  <w:style w:type="paragraph" w:styleId="17">
    <w:name w:val="Balloon Text"/>
    <w:basedOn w:val="1"/>
    <w:link w:val="43"/>
    <w:qFormat/>
    <w:uiPriority w:val="0"/>
    <w:rPr>
      <w:kern w:val="0"/>
      <w:sz w:val="18"/>
      <w:szCs w:val="18"/>
    </w:rPr>
  </w:style>
  <w:style w:type="paragraph" w:styleId="18">
    <w:name w:val="footer"/>
    <w:basedOn w:val="1"/>
    <w:link w:val="35"/>
    <w:qFormat/>
    <w:uiPriority w:val="99"/>
    <w:pPr>
      <w:tabs>
        <w:tab w:val="center" w:pos="4153"/>
        <w:tab w:val="right" w:pos="8306"/>
      </w:tabs>
      <w:snapToGrid w:val="0"/>
      <w:jc w:val="left"/>
    </w:pPr>
    <w:rPr>
      <w:rFonts w:ascii="Calibri" w:hAnsi="Calibri"/>
      <w:kern w:val="0"/>
      <w:sz w:val="18"/>
      <w:szCs w:val="18"/>
    </w:rPr>
  </w:style>
  <w:style w:type="paragraph" w:styleId="19">
    <w:name w:val="header"/>
    <w:basedOn w:val="1"/>
    <w:link w:val="30"/>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20">
    <w:name w:val="toc 1"/>
    <w:basedOn w:val="1"/>
    <w:next w:val="1"/>
    <w:qFormat/>
    <w:uiPriority w:val="39"/>
    <w:pPr>
      <w:widowControl/>
      <w:tabs>
        <w:tab w:val="left" w:pos="440"/>
        <w:tab w:val="left" w:pos="1050"/>
        <w:tab w:val="right" w:leader="dot" w:pos="8630"/>
      </w:tabs>
      <w:spacing w:after="100" w:line="276" w:lineRule="auto"/>
      <w:ind w:firstLine="426"/>
      <w:jc w:val="left"/>
    </w:pPr>
    <w:rPr>
      <w:rFonts w:ascii="Calibri" w:hAnsi="Calibri"/>
      <w:kern w:val="0"/>
      <w:sz w:val="22"/>
      <w:szCs w:val="22"/>
      <w:lang w:eastAsia="en-US"/>
    </w:rPr>
  </w:style>
  <w:style w:type="paragraph" w:styleId="21">
    <w:name w:val="toc 2"/>
    <w:basedOn w:val="1"/>
    <w:next w:val="1"/>
    <w:qFormat/>
    <w:uiPriority w:val="0"/>
    <w:pPr>
      <w:ind w:left="420" w:leftChars="200"/>
    </w:pPr>
  </w:style>
  <w:style w:type="paragraph" w:styleId="22">
    <w:name w:val="Normal (Web)"/>
    <w:basedOn w:val="1"/>
    <w:unhideWhenUsed/>
    <w:qFormat/>
    <w:uiPriority w:val="99"/>
    <w:pPr>
      <w:spacing w:before="100" w:beforeAutospacing="1" w:after="100" w:afterAutospacing="1"/>
      <w:jc w:val="left"/>
    </w:pPr>
    <w:rPr>
      <w:kern w:val="0"/>
      <w:sz w:val="24"/>
    </w:rPr>
  </w:style>
  <w:style w:type="paragraph" w:styleId="23">
    <w:name w:val="annotation subject"/>
    <w:basedOn w:val="13"/>
    <w:next w:val="13"/>
    <w:link w:val="44"/>
    <w:qFormat/>
    <w:uiPriority w:val="0"/>
    <w:rPr>
      <w:b/>
      <w:bCs/>
    </w:rPr>
  </w:style>
  <w:style w:type="character" w:styleId="26">
    <w:name w:val="Hyperlink"/>
    <w:qFormat/>
    <w:uiPriority w:val="99"/>
    <w:rPr>
      <w:color w:val="0000FF"/>
      <w:u w:val="single"/>
    </w:rPr>
  </w:style>
  <w:style w:type="character" w:styleId="27">
    <w:name w:val="annotation reference"/>
    <w:qFormat/>
    <w:uiPriority w:val="0"/>
    <w:rPr>
      <w:sz w:val="21"/>
      <w:szCs w:val="21"/>
    </w:rPr>
  </w:style>
  <w:style w:type="character" w:customStyle="1" w:styleId="28">
    <w:name w:val="批注文字 Char"/>
    <w:link w:val="13"/>
    <w:qFormat/>
    <w:uiPriority w:val="0"/>
    <w:rPr>
      <w:rFonts w:ascii="Times New Roman" w:hAnsi="Times New Roman" w:eastAsia="宋体" w:cs="Times New Roman"/>
      <w:szCs w:val="24"/>
    </w:rPr>
  </w:style>
  <w:style w:type="character" w:customStyle="1" w:styleId="29">
    <w:name w:val="标题 3 Char"/>
    <w:link w:val="4"/>
    <w:uiPriority w:val="0"/>
    <w:rPr>
      <w:rFonts w:ascii="Calibri" w:hAnsi="Calibri"/>
      <w:b/>
      <w:bCs/>
      <w:sz w:val="32"/>
      <w:szCs w:val="32"/>
    </w:rPr>
  </w:style>
  <w:style w:type="character" w:customStyle="1" w:styleId="30">
    <w:name w:val="页眉 Char"/>
    <w:link w:val="19"/>
    <w:uiPriority w:val="99"/>
    <w:rPr>
      <w:sz w:val="18"/>
      <w:szCs w:val="18"/>
    </w:rPr>
  </w:style>
  <w:style w:type="character" w:customStyle="1" w:styleId="31">
    <w:name w:val="标题 7 Char"/>
    <w:link w:val="8"/>
    <w:qFormat/>
    <w:uiPriority w:val="0"/>
    <w:rPr>
      <w:rFonts w:ascii="Calibri" w:hAnsi="Calibri"/>
      <w:b/>
      <w:bCs/>
      <w:sz w:val="24"/>
      <w:szCs w:val="24"/>
    </w:rPr>
  </w:style>
  <w:style w:type="character" w:customStyle="1" w:styleId="32">
    <w:name w:val="标题 6 Char"/>
    <w:link w:val="7"/>
    <w:qFormat/>
    <w:uiPriority w:val="0"/>
    <w:rPr>
      <w:rFonts w:ascii="Cambria" w:hAnsi="Cambria"/>
      <w:b/>
      <w:bCs/>
      <w:sz w:val="24"/>
      <w:szCs w:val="24"/>
    </w:rPr>
  </w:style>
  <w:style w:type="character" w:customStyle="1" w:styleId="33">
    <w:name w:val="标题 4 Char"/>
    <w:link w:val="5"/>
    <w:qFormat/>
    <w:uiPriority w:val="0"/>
    <w:rPr>
      <w:rFonts w:ascii="Cambria" w:hAnsi="Cambria"/>
      <w:b/>
      <w:bCs/>
      <w:sz w:val="28"/>
      <w:szCs w:val="28"/>
    </w:rPr>
  </w:style>
  <w:style w:type="character" w:customStyle="1" w:styleId="34">
    <w:name w:val="正文文本 Char"/>
    <w:link w:val="14"/>
    <w:qFormat/>
    <w:uiPriority w:val="0"/>
    <w:rPr>
      <w:rFonts w:ascii="Times New Roman" w:hAnsi="Times New Roman" w:eastAsia="宋体" w:cs="Times New Roman"/>
      <w:szCs w:val="24"/>
    </w:rPr>
  </w:style>
  <w:style w:type="character" w:customStyle="1" w:styleId="35">
    <w:name w:val="页脚 Char"/>
    <w:link w:val="18"/>
    <w:qFormat/>
    <w:uiPriority w:val="99"/>
    <w:rPr>
      <w:sz w:val="18"/>
      <w:szCs w:val="18"/>
    </w:rPr>
  </w:style>
  <w:style w:type="character" w:customStyle="1" w:styleId="36">
    <w:name w:val="正文文本缩进 Char"/>
    <w:link w:val="15"/>
    <w:qFormat/>
    <w:uiPriority w:val="0"/>
    <w:rPr>
      <w:rFonts w:ascii="Times New Roman" w:hAnsi="Times New Roman" w:eastAsia="宋体" w:cs="Times New Roman"/>
      <w:szCs w:val="24"/>
    </w:rPr>
  </w:style>
  <w:style w:type="character" w:customStyle="1" w:styleId="37">
    <w:name w:val="标题 1 Char"/>
    <w:link w:val="2"/>
    <w:qFormat/>
    <w:uiPriority w:val="0"/>
    <w:rPr>
      <w:rFonts w:ascii="Cambria" w:hAnsi="Cambria"/>
      <w:b/>
      <w:bCs/>
      <w:kern w:val="32"/>
      <w:sz w:val="32"/>
      <w:szCs w:val="32"/>
    </w:rPr>
  </w:style>
  <w:style w:type="character" w:customStyle="1" w:styleId="38">
    <w:name w:val="标题 5 Char"/>
    <w:link w:val="6"/>
    <w:qFormat/>
    <w:uiPriority w:val="0"/>
    <w:rPr>
      <w:rFonts w:ascii="Calibri" w:hAnsi="Calibri"/>
      <w:b/>
      <w:bCs/>
      <w:sz w:val="28"/>
      <w:szCs w:val="28"/>
    </w:rPr>
  </w:style>
  <w:style w:type="character" w:customStyle="1" w:styleId="39">
    <w:name w:val="文档结构图 Char"/>
    <w:link w:val="12"/>
    <w:qFormat/>
    <w:uiPriority w:val="0"/>
    <w:rPr>
      <w:rFonts w:ascii="宋体" w:hAnsi="Times New Roman" w:eastAsia="宋体" w:cs="Times New Roman"/>
      <w:sz w:val="18"/>
      <w:szCs w:val="18"/>
    </w:rPr>
  </w:style>
  <w:style w:type="character" w:customStyle="1" w:styleId="40">
    <w:name w:val="标题 2 Char"/>
    <w:link w:val="3"/>
    <w:qFormat/>
    <w:uiPriority w:val="0"/>
    <w:rPr>
      <w:rFonts w:ascii="Cambria" w:hAnsi="Cambria"/>
      <w:b/>
      <w:bCs/>
      <w:sz w:val="32"/>
      <w:szCs w:val="32"/>
    </w:rPr>
  </w:style>
  <w:style w:type="character" w:customStyle="1" w:styleId="41">
    <w:name w:val="标题 8 Char"/>
    <w:link w:val="9"/>
    <w:qFormat/>
    <w:uiPriority w:val="0"/>
    <w:rPr>
      <w:rFonts w:ascii="Cambria" w:hAnsi="Cambria"/>
      <w:sz w:val="24"/>
      <w:szCs w:val="24"/>
    </w:rPr>
  </w:style>
  <w:style w:type="character" w:customStyle="1" w:styleId="42">
    <w:name w:val="标题 9 Char"/>
    <w:link w:val="10"/>
    <w:qFormat/>
    <w:uiPriority w:val="0"/>
    <w:rPr>
      <w:rFonts w:ascii="Cambria" w:hAnsi="Cambria"/>
      <w:sz w:val="21"/>
      <w:szCs w:val="21"/>
    </w:rPr>
  </w:style>
  <w:style w:type="character" w:customStyle="1" w:styleId="43">
    <w:name w:val="批注框文本 Char"/>
    <w:link w:val="17"/>
    <w:qFormat/>
    <w:uiPriority w:val="0"/>
    <w:rPr>
      <w:rFonts w:ascii="Times New Roman" w:hAnsi="Times New Roman" w:eastAsia="宋体" w:cs="Times New Roman"/>
      <w:sz w:val="18"/>
      <w:szCs w:val="18"/>
    </w:rPr>
  </w:style>
  <w:style w:type="character" w:customStyle="1" w:styleId="44">
    <w:name w:val="批注主题 Char"/>
    <w:link w:val="23"/>
    <w:qFormat/>
    <w:uiPriority w:val="0"/>
    <w:rPr>
      <w:rFonts w:ascii="Times New Roman" w:hAnsi="Times New Roman" w:eastAsia="宋体" w:cs="Times New Roman"/>
      <w:b/>
      <w:bCs/>
      <w:szCs w:val="24"/>
    </w:rPr>
  </w:style>
  <w:style w:type="paragraph" w:customStyle="1" w:styleId="45">
    <w:name w:val="注解"/>
    <w:basedOn w:val="1"/>
    <w:qFormat/>
    <w:uiPriority w:val="0"/>
    <w:pPr>
      <w:widowControl/>
      <w:spacing w:beforeLines="50" w:afterLines="50" w:line="360" w:lineRule="auto"/>
      <w:ind w:firstLine="480" w:firstLineChars="200"/>
      <w:jc w:val="left"/>
    </w:pPr>
    <w:rPr>
      <w:rFonts w:ascii="宋体" w:hAnsi="宋体"/>
      <w:kern w:val="0"/>
      <w:sz w:val="24"/>
      <w:szCs w:val="20"/>
    </w:rPr>
  </w:style>
  <w:style w:type="paragraph" w:customStyle="1" w:styleId="46">
    <w:name w:val="_"/>
    <w:basedOn w:val="1"/>
    <w:qFormat/>
    <w:uiPriority w:val="0"/>
    <w:pPr>
      <w:adjustRightInd w:val="0"/>
      <w:spacing w:line="360" w:lineRule="auto"/>
      <w:ind w:left="480"/>
      <w:textAlignment w:val="baseline"/>
    </w:pPr>
    <w:rPr>
      <w:kern w:val="0"/>
      <w:sz w:val="24"/>
      <w:szCs w:val="20"/>
    </w:rPr>
  </w:style>
  <w:style w:type="paragraph" w:customStyle="1" w:styleId="4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8">
    <w:name w:val="SOW标题3"/>
    <w:qFormat/>
    <w:uiPriority w:val="0"/>
    <w:pPr>
      <w:snapToGrid w:val="0"/>
      <w:spacing w:before="120" w:line="360" w:lineRule="auto"/>
      <w:outlineLvl w:val="2"/>
    </w:pPr>
    <w:rPr>
      <w:rFonts w:ascii="Arial" w:hAnsi="Arial" w:eastAsia="宋体" w:cs="Times New Roman"/>
      <w:b/>
      <w:snapToGrid w:val="0"/>
      <w:spacing w:val="20"/>
      <w:sz w:val="26"/>
      <w:lang w:val="en-US" w:eastAsia="zh-CN" w:bidi="ar-SA"/>
    </w:rPr>
  </w:style>
  <w:style w:type="paragraph" w:customStyle="1" w:styleId="49">
    <w:name w:val="bullet"/>
    <w:basedOn w:val="1"/>
    <w:qFormat/>
    <w:uiPriority w:val="0"/>
    <w:rPr>
      <w:szCs w:val="20"/>
      <w:lang w:eastAsia="zh-TW"/>
    </w:rPr>
  </w:style>
  <w:style w:type="paragraph" w:customStyle="1" w:styleId="50">
    <w:name w:val="列出段落1"/>
    <w:basedOn w:val="1"/>
    <w:qFormat/>
    <w:uiPriority w:val="0"/>
    <w:pPr>
      <w:ind w:firstLine="420" w:firstLineChars="200"/>
    </w:pPr>
  </w:style>
  <w:style w:type="paragraph" w:customStyle="1" w:styleId="51">
    <w:name w:val="Normal Bullet"/>
    <w:basedOn w:val="1"/>
    <w:qFormat/>
    <w:uiPriority w:val="0"/>
    <w:pPr>
      <w:widowControl/>
      <w:tabs>
        <w:tab w:val="left" w:pos="1185"/>
      </w:tabs>
      <w:ind w:left="1185" w:hanging="360"/>
      <w:jc w:val="left"/>
    </w:pPr>
    <w:rPr>
      <w:rFonts w:eastAsia="Times New Roman"/>
      <w:kern w:val="0"/>
      <w:sz w:val="24"/>
      <w:lang w:val="en-GB" w:eastAsia="en-US"/>
    </w:rPr>
  </w:style>
  <w:style w:type="paragraph" w:customStyle="1" w:styleId="52">
    <w:name w:val="编写建议 Char"/>
    <w:basedOn w:val="1"/>
    <w:qFormat/>
    <w:uiPriority w:val="0"/>
    <w:pPr>
      <w:keepNext/>
      <w:autoSpaceDE w:val="0"/>
      <w:autoSpaceDN w:val="0"/>
      <w:adjustRightInd w:val="0"/>
      <w:spacing w:line="360" w:lineRule="auto"/>
      <w:ind w:firstLine="200" w:firstLineChars="200"/>
      <w:textAlignment w:val="baseline"/>
    </w:pPr>
    <w:rPr>
      <w:i/>
      <w:color w:val="0000FF"/>
      <w:kern w:val="0"/>
      <w:szCs w:val="20"/>
    </w:rPr>
  </w:style>
  <w:style w:type="paragraph" w:customStyle="1" w:styleId="53">
    <w:name w:val="彩色列表 - 强调文字颜色 11"/>
    <w:basedOn w:val="1"/>
    <w:qFormat/>
    <w:uiPriority w:val="0"/>
    <w:pPr>
      <w:ind w:firstLine="420" w:firstLineChars="200"/>
    </w:pPr>
  </w:style>
  <w:style w:type="paragraph" w:customStyle="1" w:styleId="54">
    <w:name w:val="Side Comments311"/>
    <w:basedOn w:val="1"/>
    <w:uiPriority w:val="0"/>
    <w:pPr>
      <w:widowControl/>
      <w:spacing w:after="120"/>
      <w:ind w:right="170"/>
      <w:jc w:val="right"/>
    </w:pPr>
    <w:rPr>
      <w:rFonts w:ascii="Arial (W1)" w:hAnsi="Arial (W1)"/>
      <w:i/>
      <w:kern w:val="0"/>
      <w:sz w:val="18"/>
      <w:lang w:val="en-GB" w:eastAsia="en-US"/>
    </w:rPr>
  </w:style>
  <w:style w:type="paragraph" w:customStyle="1" w:styleId="55">
    <w:name w:val="正文_NT"/>
    <w:basedOn w:val="1"/>
    <w:qFormat/>
    <w:uiPriority w:val="0"/>
    <w:pPr>
      <w:spacing w:line="360" w:lineRule="auto"/>
      <w:ind w:left="420"/>
    </w:pPr>
    <w:rPr>
      <w:sz w:val="24"/>
    </w:rPr>
  </w:style>
  <w:style w:type="paragraph" w:customStyle="1" w:styleId="56">
    <w:name w:val="SOW 标题2"/>
    <w:basedOn w:val="2"/>
    <w:uiPriority w:val="0"/>
    <w:pPr>
      <w:pageBreakBefore/>
      <w:tabs>
        <w:tab w:val="left" w:pos="1080"/>
      </w:tabs>
      <w:snapToGrid w:val="0"/>
      <w:spacing w:before="120" w:after="0" w:line="480" w:lineRule="auto"/>
      <w:ind w:left="576" w:hanging="576"/>
      <w:jc w:val="center"/>
      <w:outlineLvl w:val="1"/>
    </w:pPr>
    <w:rPr>
      <w:rFonts w:ascii="Arial" w:hAnsi="Arial"/>
      <w:spacing w:val="30"/>
      <w:kern w:val="2"/>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180</Words>
  <Characters>1027</Characters>
  <Lines>8</Lines>
  <Paragraphs>2</Paragraphs>
  <TotalTime>10</TotalTime>
  <ScaleCrop>false</ScaleCrop>
  <LinksUpToDate>false</LinksUpToDate>
  <CharactersWithSpaces>1205</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2021-08-24T02:12:00Z</dcterms:created>
  <dc:creator>栾贺</dc:creator>
  <cp:lastModifiedBy>苑香怡</cp:lastModifiedBy>
  <dcterms:modified xsi:type="dcterms:W3CDTF">2021-12-07T03:39:48Z</dcterms:modified>
  <dc:title>附件一：昆仑银行与深圳市银之杰科技股份有限公司支票影像系统维保项目工作说明书</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